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15" w:rsidRPr="00C02015" w:rsidRDefault="00C02015" w:rsidP="00C02015">
      <w:pPr>
        <w:spacing w:after="0" w:line="239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</w:pPr>
      <w:r w:rsidRPr="00C02015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ES"/>
        </w:rPr>
        <w:t>Artículos de revistas</w:t>
      </w:r>
    </w:p>
    <w:p w:rsidR="004C6D44" w:rsidRPr="004C6D44" w:rsidRDefault="004C6D44" w:rsidP="004C6D44">
      <w:pPr>
        <w:spacing w:after="0" w:line="420" w:lineRule="atLeast"/>
        <w:textAlignment w:val="baseline"/>
        <w:outlineLvl w:val="1"/>
        <w:rPr>
          <w:rFonts w:ascii="Verdana" w:eastAsia="Times New Roman" w:hAnsi="Verdana" w:cs="Arial"/>
          <w:color w:val="000000"/>
          <w:sz w:val="20"/>
          <w:szCs w:val="20"/>
          <w:lang w:eastAsia="es-ES"/>
        </w:rPr>
      </w:pPr>
      <w:r w:rsidRPr="004C6D44"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  <w:lang w:eastAsia="es-ES"/>
        </w:rPr>
        <w:t>El mercado de las tarjetas bancarias en España: una panorámica</w:t>
      </w:r>
    </w:p>
    <w:p w:rsidR="004C6D44" w:rsidRPr="004C6D44" w:rsidRDefault="004C6D44" w:rsidP="004C6D44">
      <w:pPr>
        <w:shd w:val="clear" w:color="auto" w:fill="F5F5F5"/>
        <w:spacing w:after="0" w:line="255" w:lineRule="atLeast"/>
        <w:textAlignment w:val="baseline"/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</w:pPr>
      <w:hyperlink r:id="rId6" w:history="1">
        <w:r w:rsidRPr="004C6D44">
          <w:rPr>
            <w:rFonts w:ascii="Verdana" w:eastAsia="Times New Roman" w:hAnsi="Verdana" w:cs="Arial"/>
            <w:color w:val="000000" w:themeColor="text1"/>
            <w:sz w:val="16"/>
            <w:szCs w:val="16"/>
            <w:bdr w:val="none" w:sz="0" w:space="0" w:color="auto" w:frame="1"/>
            <w:lang w:eastAsia="es-ES"/>
          </w:rPr>
          <w:t xml:space="preserve">Ernesto Jesús </w:t>
        </w:r>
        <w:proofErr w:type="spellStart"/>
        <w:r w:rsidRPr="004C6D44">
          <w:rPr>
            <w:rFonts w:ascii="Verdana" w:eastAsia="Times New Roman" w:hAnsi="Verdana" w:cs="Arial"/>
            <w:color w:val="000000" w:themeColor="text1"/>
            <w:sz w:val="16"/>
            <w:szCs w:val="16"/>
            <w:bdr w:val="none" w:sz="0" w:space="0" w:color="auto" w:frame="1"/>
            <w:lang w:eastAsia="es-ES"/>
          </w:rPr>
          <w:t>Veres</w:t>
        </w:r>
        <w:proofErr w:type="spellEnd"/>
        <w:r w:rsidRPr="004C6D44">
          <w:rPr>
            <w:rFonts w:ascii="Verdana" w:eastAsia="Times New Roman" w:hAnsi="Verdana" w:cs="Arial"/>
            <w:color w:val="000000" w:themeColor="text1"/>
            <w:sz w:val="16"/>
            <w:szCs w:val="16"/>
            <w:bdr w:val="none" w:sz="0" w:space="0" w:color="auto" w:frame="1"/>
            <w:lang w:eastAsia="es-ES"/>
          </w:rPr>
          <w:t xml:space="preserve"> Ferrer</w:t>
        </w:r>
      </w:hyperlink>
      <w:r w:rsidRPr="004C6D44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, </w:t>
      </w:r>
      <w:hyperlink r:id="rId7" w:history="1">
        <w:r w:rsidRPr="004C6D44">
          <w:rPr>
            <w:rFonts w:ascii="Verdana" w:eastAsia="Times New Roman" w:hAnsi="Verdana" w:cs="Arial"/>
            <w:color w:val="000000" w:themeColor="text1"/>
            <w:sz w:val="16"/>
            <w:szCs w:val="16"/>
            <w:bdr w:val="none" w:sz="0" w:space="0" w:color="auto" w:frame="1"/>
            <w:lang w:eastAsia="es-ES"/>
          </w:rPr>
          <w:t xml:space="preserve">Gabriel </w:t>
        </w:r>
        <w:proofErr w:type="spellStart"/>
        <w:r w:rsidRPr="004C6D44">
          <w:rPr>
            <w:rFonts w:ascii="Verdana" w:eastAsia="Times New Roman" w:hAnsi="Verdana" w:cs="Arial"/>
            <w:color w:val="000000" w:themeColor="text1"/>
            <w:sz w:val="16"/>
            <w:szCs w:val="16"/>
            <w:bdr w:val="none" w:sz="0" w:space="0" w:color="auto" w:frame="1"/>
            <w:lang w:eastAsia="es-ES"/>
          </w:rPr>
          <w:t>Foix</w:t>
        </w:r>
        <w:proofErr w:type="spellEnd"/>
        <w:r w:rsidRPr="004C6D44">
          <w:rPr>
            <w:rFonts w:ascii="Verdana" w:eastAsia="Times New Roman" w:hAnsi="Verdana" w:cs="Arial"/>
            <w:color w:val="000000" w:themeColor="text1"/>
            <w:sz w:val="16"/>
            <w:szCs w:val="16"/>
            <w:bdr w:val="none" w:sz="0" w:space="0" w:color="auto" w:frame="1"/>
            <w:lang w:eastAsia="es-ES"/>
          </w:rPr>
          <w:t xml:space="preserve"> Escura</w:t>
        </w:r>
      </w:hyperlink>
      <w:r w:rsidRPr="004C6D44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, José Manuel Pavía Miralles</w:t>
      </w:r>
    </w:p>
    <w:p w:rsidR="004C6D44" w:rsidRPr="004C6D44" w:rsidRDefault="004C6D44" w:rsidP="004C6D44">
      <w:pPr>
        <w:shd w:val="clear" w:color="auto" w:fill="F5F5F5"/>
        <w:spacing w:after="0" w:line="255" w:lineRule="atLeast"/>
        <w:textAlignment w:val="baseline"/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</w:pPr>
      <w:hyperlink r:id="rId8" w:history="1">
        <w:r w:rsidRPr="004C6D44">
          <w:rPr>
            <w:rFonts w:ascii="Verdana" w:eastAsia="Times New Roman" w:hAnsi="Verdana" w:cs="Arial"/>
            <w:color w:val="000000" w:themeColor="text1"/>
            <w:sz w:val="16"/>
            <w:szCs w:val="16"/>
            <w:bdr w:val="none" w:sz="0" w:space="0" w:color="auto" w:frame="1"/>
            <w:lang w:eastAsia="es-ES"/>
          </w:rPr>
          <w:t>Información Comercial Española, ICE: Revista de economía</w:t>
        </w:r>
      </w:hyperlink>
      <w:r w:rsidRPr="004C6D44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, </w:t>
      </w:r>
      <w:r w:rsidRPr="004C6D44">
        <w:rPr>
          <w:rFonts w:ascii="Verdana" w:eastAsia="Times New Roman" w:hAnsi="Verdana" w:cs="Arial"/>
          <w:color w:val="000000" w:themeColor="text1"/>
          <w:sz w:val="16"/>
          <w:szCs w:val="16"/>
          <w:bdr w:val="none" w:sz="0" w:space="0" w:color="auto" w:frame="1"/>
          <w:lang w:eastAsia="es-ES"/>
        </w:rPr>
        <w:t>ISSN</w:t>
      </w:r>
      <w:r w:rsidRPr="004C6D44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 0019-977X, </w:t>
      </w:r>
      <w:hyperlink r:id="rId9" w:history="1">
        <w:r w:rsidRPr="004C6D44">
          <w:rPr>
            <w:rFonts w:ascii="Verdana" w:eastAsia="Times New Roman" w:hAnsi="Verdana" w:cs="Arial"/>
            <w:color w:val="000000" w:themeColor="text1"/>
            <w:sz w:val="16"/>
            <w:szCs w:val="16"/>
            <w:bdr w:val="none" w:sz="0" w:space="0" w:color="auto" w:frame="1"/>
            <w:lang w:eastAsia="es-ES"/>
          </w:rPr>
          <w:t>Nº 876, 2014</w:t>
        </w:r>
      </w:hyperlink>
      <w:r w:rsidRPr="004C6D44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 (Ejemplar dedicado a: "50 aniversario de la primera ley de competencia en España"), págs. 167-177</w:t>
      </w:r>
    </w:p>
    <w:p w:rsidR="00C02015" w:rsidRPr="00C02015" w:rsidRDefault="00C02015" w:rsidP="00C02015">
      <w:pPr>
        <w:shd w:val="clear" w:color="auto" w:fill="F5F5F5"/>
        <w:spacing w:after="0" w:line="255" w:lineRule="atLeast"/>
        <w:textAlignment w:val="baseline"/>
        <w:rPr>
          <w:rFonts w:ascii="Verdana" w:eastAsia="Times New Roman" w:hAnsi="Verdana" w:cs="Arial"/>
          <w:color w:val="000000" w:themeColor="text1"/>
          <w:sz w:val="18"/>
          <w:szCs w:val="18"/>
          <w:lang w:eastAsia="es-ES"/>
        </w:rPr>
      </w:pPr>
      <w:hyperlink r:id="rId10" w:tooltip="Acceder al texto completo de &quot;El mercado de las tarjetas bancarias en España: una panorámica&quot;" w:history="1">
        <w:r w:rsidRPr="00C02015">
          <w:rPr>
            <w:rFonts w:ascii="Verdana" w:eastAsia="Times New Roman" w:hAnsi="Verdana" w:cs="Arial"/>
            <w:color w:val="6E0909"/>
            <w:bdr w:val="none" w:sz="0" w:space="0" w:color="auto" w:frame="1"/>
            <w:lang w:eastAsia="es-ES"/>
          </w:rPr>
          <w:t>Texto PDF</w:t>
        </w:r>
      </w:hyperlink>
      <w:r>
        <w:rPr>
          <w:rFonts w:ascii="Verdana" w:eastAsia="Times New Roman" w:hAnsi="Verdana" w:cs="Arial"/>
          <w:color w:val="000000"/>
          <w:lang w:eastAsia="es-ES"/>
        </w:rPr>
        <w:t xml:space="preserve">  </w:t>
      </w:r>
      <w:r w:rsidRPr="004C6D44">
        <w:rPr>
          <w:rFonts w:ascii="Verdana" w:eastAsia="Times New Roman" w:hAnsi="Verdana" w:cs="Arial"/>
          <w:color w:val="000000" w:themeColor="text1"/>
          <w:lang w:eastAsia="es-ES"/>
        </w:rPr>
        <w:t>(</w:t>
      </w:r>
      <w:proofErr w:type="spellStart"/>
      <w:r w:rsidRPr="004C6D44">
        <w:rPr>
          <w:rFonts w:ascii="Verdana" w:eastAsia="Times New Roman" w:hAnsi="Verdana" w:cs="Arial"/>
          <w:color w:val="000000" w:themeColor="text1"/>
          <w:sz w:val="18"/>
          <w:szCs w:val="18"/>
          <w:lang w:eastAsia="es-ES"/>
        </w:rPr>
        <w:t>Ctrl</w:t>
      </w:r>
      <w:proofErr w:type="spellEnd"/>
      <w:r w:rsidRPr="004C6D44">
        <w:rPr>
          <w:rFonts w:ascii="Verdana" w:eastAsia="Times New Roman" w:hAnsi="Verdana" w:cs="Arial"/>
          <w:color w:val="000000" w:themeColor="text1"/>
          <w:sz w:val="18"/>
          <w:szCs w:val="18"/>
          <w:lang w:eastAsia="es-ES"/>
        </w:rPr>
        <w:t xml:space="preserve"> + clic)</w:t>
      </w:r>
    </w:p>
    <w:p w:rsidR="00C02015" w:rsidRDefault="00C02015" w:rsidP="00C02015">
      <w:pPr>
        <w:shd w:val="clear" w:color="auto" w:fill="FFFFFF"/>
        <w:spacing w:after="0" w:line="255" w:lineRule="atLeast"/>
        <w:textAlignment w:val="baseline"/>
        <w:rPr>
          <w:rFonts w:ascii="Verdana" w:eastAsia="Times New Roman" w:hAnsi="Verdana" w:cs="Arial"/>
          <w:bCs/>
          <w:color w:val="000000" w:themeColor="text1"/>
          <w:sz w:val="20"/>
          <w:szCs w:val="20"/>
          <w:bdr w:val="none" w:sz="0" w:space="0" w:color="auto" w:frame="1"/>
          <w:lang w:eastAsia="es-ES"/>
        </w:rPr>
      </w:pPr>
    </w:p>
    <w:p w:rsidR="00C02015" w:rsidRPr="00C02015" w:rsidRDefault="00C02015" w:rsidP="00C02015">
      <w:pPr>
        <w:shd w:val="clear" w:color="auto" w:fill="FFFFFF"/>
        <w:spacing w:after="0" w:line="255" w:lineRule="atLeast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s-ES"/>
        </w:rPr>
      </w:pPr>
      <w:hyperlink r:id="rId11" w:history="1">
        <w:r w:rsidRPr="00C02015">
          <w:rPr>
            <w:rFonts w:ascii="Verdana" w:eastAsia="Times New Roman" w:hAnsi="Verdana" w:cs="Arial"/>
            <w:bCs/>
            <w:color w:val="000000" w:themeColor="text1"/>
            <w:sz w:val="20"/>
            <w:szCs w:val="20"/>
            <w:bdr w:val="none" w:sz="0" w:space="0" w:color="auto" w:frame="1"/>
            <w:lang w:eastAsia="es-ES"/>
          </w:rPr>
          <w:t>Determinantes y diferencias en la rentabilidad de Cajas y Bancos</w:t>
        </w:r>
      </w:hyperlink>
    </w:p>
    <w:p w:rsidR="00C02015" w:rsidRPr="00C02015" w:rsidRDefault="00C02015" w:rsidP="00C02015">
      <w:pPr>
        <w:shd w:val="clear" w:color="auto" w:fill="FFFFFF"/>
        <w:spacing w:after="0" w:line="255" w:lineRule="atLeast"/>
        <w:textAlignment w:val="baseline"/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</w:pPr>
      <w:hyperlink r:id="rId12" w:history="1">
        <w:r w:rsidRPr="00C02015">
          <w:rPr>
            <w:rFonts w:ascii="Verdana" w:eastAsia="Times New Roman" w:hAnsi="Verdana" w:cs="Arial"/>
            <w:color w:val="000000" w:themeColor="text1"/>
            <w:sz w:val="16"/>
            <w:szCs w:val="16"/>
            <w:bdr w:val="none" w:sz="0" w:space="0" w:color="auto" w:frame="1"/>
            <w:lang w:eastAsia="es-ES"/>
          </w:rPr>
          <w:t xml:space="preserve">Salvador </w:t>
        </w:r>
        <w:proofErr w:type="spellStart"/>
        <w:r w:rsidRPr="00C02015">
          <w:rPr>
            <w:rFonts w:ascii="Verdana" w:eastAsia="Times New Roman" w:hAnsi="Verdana" w:cs="Arial"/>
            <w:color w:val="000000" w:themeColor="text1"/>
            <w:sz w:val="16"/>
            <w:szCs w:val="16"/>
            <w:bdr w:val="none" w:sz="0" w:space="0" w:color="auto" w:frame="1"/>
            <w:lang w:eastAsia="es-ES"/>
          </w:rPr>
          <w:t>Climent</w:t>
        </w:r>
        <w:proofErr w:type="spellEnd"/>
        <w:r w:rsidRPr="00C02015">
          <w:rPr>
            <w:rFonts w:ascii="Verdana" w:eastAsia="Times New Roman" w:hAnsi="Verdana" w:cs="Arial"/>
            <w:color w:val="000000" w:themeColor="text1"/>
            <w:sz w:val="16"/>
            <w:szCs w:val="16"/>
            <w:bdr w:val="none" w:sz="0" w:space="0" w:color="auto" w:frame="1"/>
            <w:lang w:eastAsia="es-ES"/>
          </w:rPr>
          <w:t xml:space="preserve"> Serrano</w:t>
        </w:r>
      </w:hyperlink>
      <w:r w:rsidRPr="00C02015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, José Manuel Pavía Miralles</w:t>
      </w:r>
    </w:p>
    <w:p w:rsidR="00C02015" w:rsidRPr="00C02015" w:rsidRDefault="00C02015" w:rsidP="00C02015">
      <w:pPr>
        <w:shd w:val="clear" w:color="auto" w:fill="FFFFFF"/>
        <w:spacing w:after="0" w:line="255" w:lineRule="atLeast"/>
        <w:textAlignment w:val="baseline"/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</w:pPr>
      <w:hyperlink r:id="rId13" w:history="1">
        <w:r w:rsidRPr="00C02015">
          <w:rPr>
            <w:rFonts w:ascii="Verdana" w:eastAsia="Times New Roman" w:hAnsi="Verdana" w:cs="Arial"/>
            <w:color w:val="000000" w:themeColor="text1"/>
            <w:sz w:val="16"/>
            <w:szCs w:val="16"/>
            <w:bdr w:val="none" w:sz="0" w:space="0" w:color="auto" w:frame="1"/>
            <w:lang w:eastAsia="es-ES"/>
          </w:rPr>
          <w:t>Revista de economía aplicada</w:t>
        </w:r>
      </w:hyperlink>
      <w:r w:rsidRPr="00C02015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, </w:t>
      </w:r>
      <w:r w:rsidRPr="00C02015">
        <w:rPr>
          <w:rFonts w:ascii="Verdana" w:eastAsia="Times New Roman" w:hAnsi="Verdana" w:cs="Arial"/>
          <w:color w:val="000000" w:themeColor="text1"/>
          <w:sz w:val="16"/>
          <w:szCs w:val="16"/>
          <w:bdr w:val="none" w:sz="0" w:space="0" w:color="auto" w:frame="1"/>
          <w:lang w:eastAsia="es-ES"/>
        </w:rPr>
        <w:t>ISSN</w:t>
      </w:r>
      <w:r w:rsidRPr="00C02015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 1133-455X, </w:t>
      </w:r>
      <w:hyperlink r:id="rId14" w:history="1">
        <w:r w:rsidRPr="00C02015">
          <w:rPr>
            <w:rFonts w:ascii="Verdana" w:eastAsia="Times New Roman" w:hAnsi="Verdana" w:cs="Arial"/>
            <w:color w:val="000000" w:themeColor="text1"/>
            <w:sz w:val="16"/>
            <w:szCs w:val="16"/>
            <w:bdr w:val="none" w:sz="0" w:space="0" w:color="auto" w:frame="1"/>
            <w:lang w:eastAsia="es-ES"/>
          </w:rPr>
          <w:t>Vol. 22, Nº 65, 2014</w:t>
        </w:r>
      </w:hyperlink>
      <w:r w:rsidRPr="00C02015">
        <w:rPr>
          <w:rFonts w:ascii="Verdana" w:eastAsia="Times New Roman" w:hAnsi="Verdana" w:cs="Arial"/>
          <w:color w:val="000000" w:themeColor="text1"/>
          <w:sz w:val="16"/>
          <w:szCs w:val="16"/>
          <w:lang w:eastAsia="es-ES"/>
        </w:rPr>
        <w:t>, págs. 117-154</w:t>
      </w:r>
    </w:p>
    <w:p w:rsidR="004C6D44" w:rsidRDefault="00C02015" w:rsidP="00C02015">
      <w:pPr>
        <w:shd w:val="clear" w:color="auto" w:fill="FFFFFF"/>
        <w:spacing w:after="0" w:line="255" w:lineRule="atLeast"/>
        <w:textAlignment w:val="baseline"/>
        <w:rPr>
          <w:rFonts w:ascii="Verdana" w:eastAsia="Times New Roman" w:hAnsi="Verdana" w:cs="Arial"/>
          <w:color w:val="000000" w:themeColor="text1"/>
          <w:sz w:val="18"/>
          <w:szCs w:val="18"/>
          <w:lang w:eastAsia="es-ES"/>
        </w:rPr>
      </w:pPr>
      <w:hyperlink r:id="rId15" w:tooltip="Acceder al texto completo de &quot;Determinantes y diferencias en la rentabilidad de Cajas y Bancos&quot;" w:history="1">
        <w:r w:rsidRPr="00C02015">
          <w:rPr>
            <w:rFonts w:ascii="Verdana" w:eastAsia="Times New Roman" w:hAnsi="Verdana" w:cs="Arial"/>
            <w:color w:val="6E0909"/>
            <w:bdr w:val="none" w:sz="0" w:space="0" w:color="auto" w:frame="1"/>
            <w:lang w:eastAsia="es-ES"/>
          </w:rPr>
          <w:t xml:space="preserve">Texto </w:t>
        </w:r>
        <w:r>
          <w:rPr>
            <w:rFonts w:ascii="Verdana" w:eastAsia="Times New Roman" w:hAnsi="Verdana" w:cs="Arial"/>
            <w:color w:val="6E0909"/>
            <w:bdr w:val="none" w:sz="0" w:space="0" w:color="auto" w:frame="1"/>
            <w:lang w:eastAsia="es-ES"/>
          </w:rPr>
          <w:t>PD</w:t>
        </w:r>
        <w:bookmarkStart w:id="0" w:name="_GoBack"/>
        <w:bookmarkEnd w:id="0"/>
        <w:r>
          <w:rPr>
            <w:rFonts w:ascii="Verdana" w:eastAsia="Times New Roman" w:hAnsi="Verdana" w:cs="Arial"/>
            <w:color w:val="6E0909"/>
            <w:bdr w:val="none" w:sz="0" w:space="0" w:color="auto" w:frame="1"/>
            <w:lang w:eastAsia="es-ES"/>
          </w:rPr>
          <w:t>F</w:t>
        </w:r>
      </w:hyperlink>
      <w:r>
        <w:rPr>
          <w:rFonts w:ascii="Verdana" w:eastAsia="Times New Roman" w:hAnsi="Verdana" w:cs="Arial"/>
          <w:color w:val="000000"/>
          <w:lang w:eastAsia="es-ES"/>
        </w:rPr>
        <w:t xml:space="preserve">  </w:t>
      </w:r>
      <w:r w:rsidRPr="004C6D44">
        <w:rPr>
          <w:rFonts w:ascii="Verdana" w:eastAsia="Times New Roman" w:hAnsi="Verdana" w:cs="Arial"/>
          <w:color w:val="000000" w:themeColor="text1"/>
          <w:lang w:eastAsia="es-ES"/>
        </w:rPr>
        <w:t>(</w:t>
      </w:r>
      <w:proofErr w:type="spellStart"/>
      <w:r w:rsidRPr="004C6D44">
        <w:rPr>
          <w:rFonts w:ascii="Verdana" w:eastAsia="Times New Roman" w:hAnsi="Verdana" w:cs="Arial"/>
          <w:color w:val="000000" w:themeColor="text1"/>
          <w:sz w:val="18"/>
          <w:szCs w:val="18"/>
          <w:lang w:eastAsia="es-ES"/>
        </w:rPr>
        <w:t>Ctrl</w:t>
      </w:r>
      <w:proofErr w:type="spellEnd"/>
      <w:r w:rsidRPr="004C6D44">
        <w:rPr>
          <w:rFonts w:ascii="Verdana" w:eastAsia="Times New Roman" w:hAnsi="Verdana" w:cs="Arial"/>
          <w:color w:val="000000" w:themeColor="text1"/>
          <w:sz w:val="18"/>
          <w:szCs w:val="18"/>
          <w:lang w:eastAsia="es-ES"/>
        </w:rPr>
        <w:t xml:space="preserve"> + clic)</w:t>
      </w:r>
    </w:p>
    <w:p w:rsidR="00C02015" w:rsidRDefault="00C02015" w:rsidP="00C02015">
      <w:pPr>
        <w:shd w:val="clear" w:color="auto" w:fill="FFFFFF"/>
        <w:spacing w:after="0" w:line="255" w:lineRule="atLeast"/>
        <w:textAlignment w:val="baseline"/>
        <w:rPr>
          <w:rFonts w:ascii="Verdana" w:eastAsia="Times New Roman" w:hAnsi="Verdana" w:cs="Arial"/>
          <w:color w:val="000000" w:themeColor="text1"/>
          <w:sz w:val="18"/>
          <w:szCs w:val="18"/>
          <w:lang w:eastAsia="es-ES"/>
        </w:rPr>
      </w:pPr>
    </w:p>
    <w:p w:rsidR="00C02015" w:rsidRPr="00C02015" w:rsidRDefault="00C02015" w:rsidP="00C02015">
      <w:pPr>
        <w:shd w:val="clear" w:color="auto" w:fill="F5F5F5"/>
        <w:spacing w:after="0" w:line="255" w:lineRule="atLeast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s-ES"/>
        </w:rPr>
      </w:pPr>
      <w:hyperlink r:id="rId16" w:history="1">
        <w:r w:rsidRPr="00C02015">
          <w:rPr>
            <w:rFonts w:ascii="Verdana" w:eastAsia="Times New Roman" w:hAnsi="Verdana" w:cs="Arial"/>
            <w:bCs/>
            <w:color w:val="000000" w:themeColor="text1"/>
            <w:sz w:val="20"/>
            <w:szCs w:val="20"/>
            <w:bdr w:val="none" w:sz="0" w:space="0" w:color="auto" w:frame="1"/>
            <w:lang w:eastAsia="es-ES"/>
          </w:rPr>
          <w:t>Alternativas metodológicas para el cálculo de las series retrospectivas regionales de EPA tras el cambio en la Clasificación Nacional de Actividades Económicas</w:t>
        </w:r>
      </w:hyperlink>
    </w:p>
    <w:p w:rsidR="00C02015" w:rsidRPr="00C02015" w:rsidRDefault="00C02015" w:rsidP="00C02015">
      <w:pPr>
        <w:shd w:val="clear" w:color="auto" w:fill="F5F5F5"/>
        <w:spacing w:after="0" w:line="255" w:lineRule="atLeast"/>
        <w:textAlignment w:val="baseline"/>
        <w:rPr>
          <w:rFonts w:ascii="Verdana" w:eastAsia="Times New Roman" w:hAnsi="Verdana" w:cs="Arial"/>
          <w:sz w:val="16"/>
          <w:szCs w:val="16"/>
          <w:lang w:eastAsia="es-ES"/>
        </w:rPr>
      </w:pPr>
      <w:r w:rsidRPr="00C02015">
        <w:rPr>
          <w:rFonts w:ascii="Verdana" w:eastAsia="Times New Roman" w:hAnsi="Verdana" w:cs="Arial"/>
          <w:sz w:val="16"/>
          <w:szCs w:val="16"/>
          <w:lang w:eastAsia="es-ES"/>
        </w:rPr>
        <w:t>José Manuel Pavía Miralles, </w:t>
      </w:r>
      <w:hyperlink r:id="rId17" w:history="1">
        <w:r w:rsidRPr="00C02015">
          <w:rPr>
            <w:rFonts w:ascii="Verdana" w:eastAsia="Times New Roman" w:hAnsi="Verdana" w:cs="Arial"/>
            <w:sz w:val="16"/>
            <w:szCs w:val="16"/>
            <w:bdr w:val="none" w:sz="0" w:space="0" w:color="auto" w:frame="1"/>
            <w:lang w:eastAsia="es-ES"/>
          </w:rPr>
          <w:t xml:space="preserve">Francisco </w:t>
        </w:r>
        <w:proofErr w:type="spellStart"/>
        <w:r w:rsidRPr="00C02015">
          <w:rPr>
            <w:rFonts w:ascii="Verdana" w:eastAsia="Times New Roman" w:hAnsi="Verdana" w:cs="Arial"/>
            <w:sz w:val="16"/>
            <w:szCs w:val="16"/>
            <w:bdr w:val="none" w:sz="0" w:space="0" w:color="auto" w:frame="1"/>
            <w:lang w:eastAsia="es-ES"/>
          </w:rPr>
          <w:t>Fabuel</w:t>
        </w:r>
        <w:proofErr w:type="spellEnd"/>
        <w:r w:rsidRPr="00C02015">
          <w:rPr>
            <w:rFonts w:ascii="Verdana" w:eastAsia="Times New Roman" w:hAnsi="Verdana" w:cs="Arial"/>
            <w:sz w:val="16"/>
            <w:szCs w:val="16"/>
            <w:bdr w:val="none" w:sz="0" w:space="0" w:color="auto" w:frame="1"/>
            <w:lang w:eastAsia="es-ES"/>
          </w:rPr>
          <w:t xml:space="preserve"> Gadea</w:t>
        </w:r>
      </w:hyperlink>
      <w:r w:rsidRPr="00C02015">
        <w:rPr>
          <w:rFonts w:ascii="Verdana" w:eastAsia="Times New Roman" w:hAnsi="Verdana" w:cs="Arial"/>
          <w:sz w:val="16"/>
          <w:szCs w:val="16"/>
          <w:lang w:eastAsia="es-ES"/>
        </w:rPr>
        <w:t>, </w:t>
      </w:r>
      <w:hyperlink r:id="rId18" w:history="1">
        <w:r w:rsidRPr="00C02015">
          <w:rPr>
            <w:rFonts w:ascii="Verdana" w:eastAsia="Times New Roman" w:hAnsi="Verdana" w:cs="Arial"/>
            <w:sz w:val="16"/>
            <w:szCs w:val="16"/>
            <w:bdr w:val="none" w:sz="0" w:space="0" w:color="auto" w:frame="1"/>
            <w:lang w:eastAsia="es-ES"/>
          </w:rPr>
          <w:t>Francisco G. Morillas Jurado</w:t>
        </w:r>
      </w:hyperlink>
    </w:p>
    <w:p w:rsidR="00C02015" w:rsidRPr="00C02015" w:rsidRDefault="00C02015" w:rsidP="00C02015">
      <w:pPr>
        <w:shd w:val="clear" w:color="auto" w:fill="F5F5F5"/>
        <w:spacing w:after="0" w:line="255" w:lineRule="atLeast"/>
        <w:textAlignment w:val="baseline"/>
        <w:rPr>
          <w:rFonts w:ascii="Verdana" w:eastAsia="Times New Roman" w:hAnsi="Verdana" w:cs="Arial"/>
          <w:sz w:val="16"/>
          <w:szCs w:val="16"/>
          <w:lang w:eastAsia="es-ES"/>
        </w:rPr>
      </w:pPr>
      <w:hyperlink r:id="rId19" w:history="1">
        <w:r w:rsidRPr="00C02015">
          <w:rPr>
            <w:rFonts w:ascii="Verdana" w:eastAsia="Times New Roman" w:hAnsi="Verdana" w:cs="Arial"/>
            <w:sz w:val="16"/>
            <w:szCs w:val="16"/>
            <w:u w:val="single"/>
            <w:bdr w:val="none" w:sz="0" w:space="0" w:color="auto" w:frame="1"/>
            <w:lang w:eastAsia="es-ES"/>
          </w:rPr>
          <w:t>Revista de métodos cuantitativos para la economía y la empresa</w:t>
        </w:r>
      </w:hyperlink>
      <w:r w:rsidRPr="00C02015">
        <w:rPr>
          <w:rFonts w:ascii="Verdana" w:eastAsia="Times New Roman" w:hAnsi="Verdana" w:cs="Arial"/>
          <w:sz w:val="16"/>
          <w:szCs w:val="16"/>
          <w:lang w:eastAsia="es-ES"/>
        </w:rPr>
        <w:t>, </w:t>
      </w:r>
      <w:r w:rsidRPr="00C02015">
        <w:rPr>
          <w:rFonts w:ascii="Verdana" w:eastAsia="Times New Roman" w:hAnsi="Verdana" w:cs="Arial"/>
          <w:sz w:val="16"/>
          <w:szCs w:val="16"/>
          <w:bdr w:val="none" w:sz="0" w:space="0" w:color="auto" w:frame="1"/>
          <w:lang w:eastAsia="es-ES"/>
        </w:rPr>
        <w:t>ISSN-e</w:t>
      </w:r>
      <w:r w:rsidRPr="00C02015">
        <w:rPr>
          <w:rFonts w:ascii="Verdana" w:eastAsia="Times New Roman" w:hAnsi="Verdana" w:cs="Arial"/>
          <w:sz w:val="16"/>
          <w:szCs w:val="16"/>
          <w:lang w:eastAsia="es-ES"/>
        </w:rPr>
        <w:t> 1886-516X, </w:t>
      </w:r>
      <w:hyperlink r:id="rId20" w:history="1">
        <w:r w:rsidRPr="00C02015">
          <w:rPr>
            <w:rFonts w:ascii="Verdana" w:eastAsia="Times New Roman" w:hAnsi="Verdana" w:cs="Arial"/>
            <w:sz w:val="16"/>
            <w:szCs w:val="16"/>
            <w:bdr w:val="none" w:sz="0" w:space="0" w:color="auto" w:frame="1"/>
            <w:lang w:eastAsia="es-ES"/>
          </w:rPr>
          <w:t>Vol. 14, 2012</w:t>
        </w:r>
      </w:hyperlink>
      <w:r w:rsidRPr="00C02015">
        <w:rPr>
          <w:rFonts w:ascii="Verdana" w:eastAsia="Times New Roman" w:hAnsi="Verdana" w:cs="Arial"/>
          <w:sz w:val="16"/>
          <w:szCs w:val="16"/>
          <w:lang w:eastAsia="es-ES"/>
        </w:rPr>
        <w:t>, págs. 76-123</w:t>
      </w:r>
    </w:p>
    <w:p w:rsidR="00C02015" w:rsidRPr="00C02015" w:rsidRDefault="00C02015" w:rsidP="00C02015">
      <w:pPr>
        <w:shd w:val="clear" w:color="auto" w:fill="F5F5F5"/>
        <w:spacing w:after="0" w:line="255" w:lineRule="atLeast"/>
        <w:textAlignment w:val="baseline"/>
        <w:rPr>
          <w:rFonts w:ascii="Verdana" w:eastAsia="Times New Roman" w:hAnsi="Verdana" w:cs="Arial"/>
          <w:color w:val="000000"/>
          <w:lang w:eastAsia="es-ES"/>
        </w:rPr>
      </w:pPr>
      <w:hyperlink r:id="rId21" w:tooltip="Acceder al texto completo de &quot;Alternativas metodológicas para el cálculo de las series retrospectivas regionales de EPA tras el cambio en la Clasificación Nacional de Actividades Económicas&quot;" w:history="1">
        <w:r w:rsidRPr="00C02015">
          <w:rPr>
            <w:rFonts w:ascii="Verdana" w:eastAsia="Times New Roman" w:hAnsi="Verdana" w:cs="Arial"/>
            <w:color w:val="6E0909"/>
            <w:bdr w:val="none" w:sz="0" w:space="0" w:color="auto" w:frame="1"/>
            <w:lang w:eastAsia="es-ES"/>
          </w:rPr>
          <w:t xml:space="preserve">Texto </w:t>
        </w:r>
        <w:r>
          <w:rPr>
            <w:rFonts w:ascii="Verdana" w:eastAsia="Times New Roman" w:hAnsi="Verdana" w:cs="Arial"/>
            <w:color w:val="6E0909"/>
            <w:bdr w:val="none" w:sz="0" w:space="0" w:color="auto" w:frame="1"/>
            <w:lang w:eastAsia="es-ES"/>
          </w:rPr>
          <w:t>PD</w:t>
        </w:r>
        <w:r>
          <w:rPr>
            <w:rFonts w:ascii="Verdana" w:eastAsia="Times New Roman" w:hAnsi="Verdana" w:cs="Arial"/>
            <w:color w:val="6E0909"/>
            <w:bdr w:val="none" w:sz="0" w:space="0" w:color="auto" w:frame="1"/>
            <w:lang w:eastAsia="es-ES"/>
          </w:rPr>
          <w:t>F</w:t>
        </w:r>
      </w:hyperlink>
      <w:r>
        <w:rPr>
          <w:rFonts w:ascii="Verdana" w:eastAsia="Times New Roman" w:hAnsi="Verdana" w:cs="Arial"/>
          <w:color w:val="000000"/>
          <w:lang w:eastAsia="es-ES"/>
        </w:rPr>
        <w:t xml:space="preserve">  </w:t>
      </w:r>
      <w:r w:rsidRPr="004C6D44">
        <w:rPr>
          <w:rFonts w:ascii="Verdana" w:eastAsia="Times New Roman" w:hAnsi="Verdana" w:cs="Arial"/>
          <w:color w:val="000000" w:themeColor="text1"/>
          <w:lang w:eastAsia="es-ES"/>
        </w:rPr>
        <w:t>(</w:t>
      </w:r>
      <w:proofErr w:type="spellStart"/>
      <w:r w:rsidRPr="004C6D44">
        <w:rPr>
          <w:rFonts w:ascii="Verdana" w:eastAsia="Times New Roman" w:hAnsi="Verdana" w:cs="Arial"/>
          <w:color w:val="000000" w:themeColor="text1"/>
          <w:sz w:val="18"/>
          <w:szCs w:val="18"/>
          <w:lang w:eastAsia="es-ES"/>
        </w:rPr>
        <w:t>Ctrl</w:t>
      </w:r>
      <w:proofErr w:type="spellEnd"/>
      <w:r w:rsidRPr="004C6D44">
        <w:rPr>
          <w:rFonts w:ascii="Verdana" w:eastAsia="Times New Roman" w:hAnsi="Verdana" w:cs="Arial"/>
          <w:color w:val="000000" w:themeColor="text1"/>
          <w:sz w:val="18"/>
          <w:szCs w:val="18"/>
          <w:lang w:eastAsia="es-ES"/>
        </w:rPr>
        <w:t xml:space="preserve"> + clic)</w:t>
      </w:r>
    </w:p>
    <w:p w:rsidR="00C02015" w:rsidRDefault="00C02015" w:rsidP="00C02015">
      <w:pPr>
        <w:shd w:val="clear" w:color="auto" w:fill="FFFFFF"/>
        <w:spacing w:after="0" w:line="255" w:lineRule="atLeast"/>
        <w:textAlignment w:val="baseline"/>
      </w:pPr>
    </w:p>
    <w:sectPr w:rsidR="00C020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468"/>
    <w:multiLevelType w:val="multilevel"/>
    <w:tmpl w:val="23F2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80C92"/>
    <w:multiLevelType w:val="multilevel"/>
    <w:tmpl w:val="C0F0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10608"/>
    <w:multiLevelType w:val="multilevel"/>
    <w:tmpl w:val="16B6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04DD8"/>
    <w:multiLevelType w:val="multilevel"/>
    <w:tmpl w:val="1FE6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00"/>
    <w:rsid w:val="004C6D44"/>
    <w:rsid w:val="00714400"/>
    <w:rsid w:val="008E5DF6"/>
    <w:rsid w:val="00AC7056"/>
    <w:rsid w:val="00C0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C6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20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C6D4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itulo">
    <w:name w:val="titulo"/>
    <w:basedOn w:val="Fuentedeprrafopredeter"/>
    <w:rsid w:val="004C6D44"/>
  </w:style>
  <w:style w:type="character" w:customStyle="1" w:styleId="Ttulo3Car">
    <w:name w:val="Título 3 Car"/>
    <w:basedOn w:val="Fuentedeprrafopredeter"/>
    <w:link w:val="Ttulo3"/>
    <w:uiPriority w:val="9"/>
    <w:semiHidden/>
    <w:rsid w:val="00C020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C6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20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C6D4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itulo">
    <w:name w:val="titulo"/>
    <w:basedOn w:val="Fuentedeprrafopredeter"/>
    <w:rsid w:val="004C6D44"/>
  </w:style>
  <w:style w:type="character" w:customStyle="1" w:styleId="Ttulo3Car">
    <w:name w:val="Título 3 Car"/>
    <w:basedOn w:val="Fuentedeprrafopredeter"/>
    <w:link w:val="Ttulo3"/>
    <w:uiPriority w:val="9"/>
    <w:semiHidden/>
    <w:rsid w:val="00C020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net.unirioja.es/servlet/revista?codigo=677" TargetMode="External"/><Relationship Id="rId13" Type="http://schemas.openxmlformats.org/officeDocument/2006/relationships/hyperlink" Target="http://dialnet.unirioja.es/servlet/revista?codigo=1155" TargetMode="External"/><Relationship Id="rId18" Type="http://schemas.openxmlformats.org/officeDocument/2006/relationships/hyperlink" Target="http://dialnet.unirioja.es/servlet/autor?codigo=29975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ialnet.unirioja.es/servlet/articulo?codigo=4081319&amp;orden=368438&amp;info=link" TargetMode="External"/><Relationship Id="rId7" Type="http://schemas.openxmlformats.org/officeDocument/2006/relationships/hyperlink" Target="http://dialnet.unirioja.es/servlet/autor?codigo=3582110" TargetMode="External"/><Relationship Id="rId12" Type="http://schemas.openxmlformats.org/officeDocument/2006/relationships/hyperlink" Target="http://dialnet.unirioja.es/servlet/autor?codigo=752527" TargetMode="External"/><Relationship Id="rId17" Type="http://schemas.openxmlformats.org/officeDocument/2006/relationships/hyperlink" Target="http://dialnet.unirioja.es/servlet/autor?codigo=2561140" TargetMode="External"/><Relationship Id="rId2" Type="http://schemas.openxmlformats.org/officeDocument/2006/relationships/styles" Target="styles.xml"/><Relationship Id="rId16" Type="http://schemas.openxmlformats.org/officeDocument/2006/relationships/hyperlink" Target="http://dialnet.unirioja.es/servlet/articulo?codigo=4081319" TargetMode="External"/><Relationship Id="rId20" Type="http://schemas.openxmlformats.org/officeDocument/2006/relationships/hyperlink" Target="http://dialnet.unirioja.es/ejemplar/3169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alnet.unirioja.es/servlet/autor?codigo=6377" TargetMode="External"/><Relationship Id="rId11" Type="http://schemas.openxmlformats.org/officeDocument/2006/relationships/hyperlink" Target="http://dialnet.unirioja.es/servlet/articulo?codigo=48650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alnet.unirioja.es/servlet/articulo?codigo=4865037&amp;orden=1&amp;info=lin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ialnet.unirioja.es/servlet/articulo?codigo=4912803&amp;orden=1&amp;info=link" TargetMode="External"/><Relationship Id="rId19" Type="http://schemas.openxmlformats.org/officeDocument/2006/relationships/hyperlink" Target="http://dialnet.unirioja.es/servlet/revista?codigo=110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alnet.unirioja.es/ejemplar/383695" TargetMode="External"/><Relationship Id="rId14" Type="http://schemas.openxmlformats.org/officeDocument/2006/relationships/hyperlink" Target="http://dialnet.unirioja.es/ejemplar/37980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</dc:creator>
  <cp:lastModifiedBy>Ferran</cp:lastModifiedBy>
  <cp:revision>3</cp:revision>
  <cp:lastPrinted>2015-10-19T09:26:00Z</cp:lastPrinted>
  <dcterms:created xsi:type="dcterms:W3CDTF">2015-10-19T08:10:00Z</dcterms:created>
  <dcterms:modified xsi:type="dcterms:W3CDTF">2015-10-19T09:26:00Z</dcterms:modified>
</cp:coreProperties>
</file>